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363D" w14:textId="77777777" w:rsidR="00C923EC" w:rsidRDefault="001A60D0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>
        <w:rPr>
          <w:rFonts w:ascii="Adobe Jenson Pro" w:eastAsia="Adobe 宋体 Std L" w:hAnsi="Adobe 宋体 Std L"/>
          <w:b/>
          <w:sz w:val="28"/>
          <w:szCs w:val="28"/>
        </w:rPr>
        <w:t>习题</w:t>
      </w:r>
      <w:r>
        <w:rPr>
          <w:rFonts w:ascii="Adobe Jenson Pro" w:eastAsia="Adobe 宋体 Std L" w:hAnsi="Adobe Jenson Pro" w:hint="eastAsia"/>
          <w:b/>
          <w:sz w:val="28"/>
          <w:szCs w:val="28"/>
        </w:rPr>
        <w:t>10</w:t>
      </w:r>
      <w:r>
        <w:rPr>
          <w:rFonts w:ascii="Adobe Jenson Pro" w:eastAsia="Adobe 宋体 Std L" w:hAnsi="Adobe Jenson Pro"/>
          <w:b/>
          <w:sz w:val="28"/>
          <w:szCs w:val="28"/>
        </w:rPr>
        <w:t xml:space="preserve"> </w:t>
      </w:r>
    </w:p>
    <w:p w14:paraId="68FEA237" w14:textId="02D828EC" w:rsidR="00C923EC" w:rsidRDefault="00303852">
      <w:r>
        <w:t>上交时间</w:t>
      </w:r>
      <w:r>
        <w:rPr>
          <w:rFonts w:hint="eastAsia"/>
        </w:rPr>
        <w:t>：</w:t>
      </w:r>
      <w:r>
        <w:rPr>
          <w:rFonts w:hint="eastAsia"/>
        </w:rPr>
        <w:t>20</w:t>
      </w:r>
      <w:r w:rsidR="00886B97">
        <w:t>20</w:t>
      </w:r>
      <w:r>
        <w:rPr>
          <w:rFonts w:hint="eastAsia"/>
        </w:rPr>
        <w:t>年</w:t>
      </w:r>
      <w:r w:rsidR="00886B97">
        <w:t>3</w:t>
      </w:r>
      <w:r>
        <w:rPr>
          <w:rFonts w:hint="eastAsia"/>
        </w:rPr>
        <w:t>月</w:t>
      </w:r>
      <w:r w:rsidR="00886B97">
        <w:t>31</w:t>
      </w:r>
      <w:bookmarkStart w:id="0" w:name="_GoBack"/>
      <w:bookmarkEnd w:id="0"/>
      <w:r>
        <w:rPr>
          <w:rFonts w:hint="eastAsia"/>
        </w:rPr>
        <w:t>日</w:t>
      </w:r>
    </w:p>
    <w:p w14:paraId="0BA212F1" w14:textId="77777777" w:rsidR="00C923EC" w:rsidRDefault="00C923EC"/>
    <w:p w14:paraId="63BD5DCC" w14:textId="77777777" w:rsidR="00C923EC" w:rsidRDefault="001A60D0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以下哪些说法是正确的</w:t>
      </w:r>
      <w:r>
        <w:rPr>
          <w:rFonts w:asciiTheme="minorEastAsia" w:hAnsiTheme="minorEastAsia" w:cs="宋体" w:hint="eastAsia"/>
          <w:kern w:val="0"/>
          <w:sz w:val="22"/>
        </w:rPr>
        <w:t>?</w:t>
      </w:r>
      <w:r>
        <w:rPr>
          <w:rFonts w:ascii="Adobe Jenson Pro" w:eastAsia="宋体" w:hAnsi="Adobe Jenson Pro" w:cs="宋体" w:hint="eastAsia"/>
          <w:kern w:val="0"/>
          <w:sz w:val="22"/>
        </w:rPr>
        <w:t xml:space="preserve"> </w:t>
      </w:r>
    </w:p>
    <w:p w14:paraId="72C4486D" w14:textId="77777777" w:rsidR="00C923EC" w:rsidRDefault="001A60D0">
      <w:pPr>
        <w:pStyle w:val="1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期权的买卖双方都必须缴纳保证金</w:t>
      </w:r>
    </w:p>
    <w:p w14:paraId="6F1B7E52" w14:textId="77777777" w:rsidR="00C923EC" w:rsidRDefault="001A60D0">
      <w:pPr>
        <w:pStyle w:val="1"/>
        <w:numPr>
          <w:ilvl w:val="0"/>
          <w:numId w:val="3"/>
        </w:numPr>
        <w:autoSpaceDE w:val="0"/>
        <w:autoSpaceDN w:val="0"/>
        <w:adjustRightInd w:val="0"/>
        <w:ind w:leftChars="200" w:left="420" w:firstLine="44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期权空头的可能最大损失是无限的</w:t>
      </w:r>
    </w:p>
    <w:p w14:paraId="0CCA1264" w14:textId="77777777" w:rsidR="00C923EC" w:rsidRDefault="001A60D0">
      <w:pPr>
        <w:pStyle w:val="1"/>
        <w:numPr>
          <w:ilvl w:val="0"/>
          <w:numId w:val="3"/>
        </w:numPr>
        <w:autoSpaceDE w:val="0"/>
        <w:autoSpaceDN w:val="0"/>
        <w:adjustRightInd w:val="0"/>
        <w:ind w:left="397" w:firstLine="440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看跌期权空头有权按行权价买入标的资产</w:t>
      </w:r>
    </w:p>
    <w:p w14:paraId="3F3050E2" w14:textId="77777777" w:rsidR="00C923EC" w:rsidRDefault="001A60D0">
      <w:pPr>
        <w:pStyle w:val="1"/>
        <w:numPr>
          <w:ilvl w:val="0"/>
          <w:numId w:val="3"/>
        </w:numPr>
        <w:autoSpaceDE w:val="0"/>
        <w:autoSpaceDN w:val="0"/>
        <w:adjustRightInd w:val="0"/>
        <w:ind w:left="397" w:firstLine="440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看涨期权空头到期时的可能操作是卖出标的资产</w:t>
      </w:r>
    </w:p>
    <w:p w14:paraId="3B9BBDAD" w14:textId="77777777" w:rsidR="00C923EC" w:rsidRDefault="001A60D0">
      <w:pPr>
        <w:pStyle w:val="1"/>
        <w:numPr>
          <w:ilvl w:val="0"/>
          <w:numId w:val="3"/>
        </w:numPr>
        <w:autoSpaceDE w:val="0"/>
        <w:autoSpaceDN w:val="0"/>
        <w:adjustRightInd w:val="0"/>
        <w:ind w:left="397" w:firstLine="440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看跌期权空头到期时的可能操作是买进标的资产</w:t>
      </w:r>
    </w:p>
    <w:p w14:paraId="60C86BF0" w14:textId="77777777" w:rsidR="00C923EC" w:rsidRDefault="001A60D0">
      <w:pPr>
        <w:pStyle w:val="1"/>
        <w:numPr>
          <w:ilvl w:val="0"/>
          <w:numId w:val="3"/>
        </w:numPr>
        <w:autoSpaceDE w:val="0"/>
        <w:autoSpaceDN w:val="0"/>
        <w:adjustRightInd w:val="0"/>
        <w:ind w:left="397" w:firstLine="440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看跌期权空头一般认为标的资产价格不会下跌</w:t>
      </w:r>
    </w:p>
    <w:p w14:paraId="03E1CB14" w14:textId="77777777" w:rsidR="00C923EC" w:rsidRDefault="001A60D0">
      <w:pPr>
        <w:pStyle w:val="1"/>
        <w:numPr>
          <w:ilvl w:val="0"/>
          <w:numId w:val="3"/>
        </w:numPr>
        <w:autoSpaceDE w:val="0"/>
        <w:autoSpaceDN w:val="0"/>
        <w:adjustRightInd w:val="0"/>
        <w:ind w:left="397" w:firstLine="440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看涨期权空头一般认为标的资产价格不会上涨</w:t>
      </w:r>
    </w:p>
    <w:p w14:paraId="08387F88" w14:textId="19DDA3B8" w:rsidR="00C923EC" w:rsidRDefault="001A60D0" w:rsidP="001A60D0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下图是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2</w:t>
      </w:r>
      <w:r w:rsidR="001B3E6B">
        <w:rPr>
          <w:rFonts w:ascii="Adobe Jenson Pro" w:eastAsia="宋体" w:hAnsi="Adobe Jenson Pro" w:cs="宋体"/>
          <w:kern w:val="0"/>
          <w:sz w:val="22"/>
        </w:rPr>
        <w:t>020.3.18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沪深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3</w:t>
      </w:r>
      <w:r w:rsidR="001B3E6B">
        <w:rPr>
          <w:rFonts w:ascii="Adobe Jenson Pro" w:eastAsia="宋体" w:hAnsi="Adobe Jenson Pro" w:cs="宋体"/>
          <w:kern w:val="0"/>
          <w:sz w:val="22"/>
        </w:rPr>
        <w:t>00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股指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3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月期权</w:t>
      </w:r>
      <w:r>
        <w:rPr>
          <w:rFonts w:ascii="Adobe Jenson Pro" w:eastAsia="宋体" w:hAnsi="Adobe Jenson Pro" w:cs="宋体" w:hint="eastAsia"/>
          <w:kern w:val="0"/>
          <w:sz w:val="22"/>
        </w:rPr>
        <w:t>的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收盘价</w:t>
      </w:r>
      <w:r>
        <w:rPr>
          <w:rFonts w:ascii="Adobe Jenson Pro" w:eastAsia="宋体" w:hAnsi="Adobe Jenson Pro" w:cs="宋体" w:hint="eastAsia"/>
          <w:kern w:val="0"/>
          <w:sz w:val="22"/>
        </w:rPr>
        <w:t>，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沪深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3</w:t>
      </w:r>
      <w:r w:rsidR="001B3E6B">
        <w:rPr>
          <w:rFonts w:ascii="Adobe Jenson Pro" w:eastAsia="宋体" w:hAnsi="Adobe Jenson Pro" w:cs="宋体"/>
          <w:kern w:val="0"/>
          <w:sz w:val="22"/>
        </w:rPr>
        <w:t>00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股指</w:t>
      </w:r>
      <w:r w:rsidR="00886B97">
        <w:rPr>
          <w:rFonts w:ascii="Adobe Jenson Pro" w:eastAsia="宋体" w:hAnsi="Adobe Jenson Pro" w:cs="宋体" w:hint="eastAsia"/>
          <w:kern w:val="0"/>
          <w:sz w:val="22"/>
        </w:rPr>
        <w:t>为</w:t>
      </w:r>
      <w:r w:rsidR="00886B97">
        <w:rPr>
          <w:rFonts w:ascii="Adobe Jenson Pro" w:eastAsia="宋体" w:hAnsi="Adobe Jenson Pro" w:cs="宋体" w:hint="eastAsia"/>
          <w:kern w:val="0"/>
          <w:sz w:val="22"/>
        </w:rPr>
        <w:t>3</w:t>
      </w:r>
      <w:r w:rsidR="00886B97">
        <w:rPr>
          <w:rFonts w:ascii="Adobe Jenson Pro" w:eastAsia="宋体" w:hAnsi="Adobe Jenson Pro" w:cs="宋体"/>
          <w:kern w:val="0"/>
          <w:sz w:val="22"/>
        </w:rPr>
        <w:t>636.26</w:t>
      </w:r>
      <w:r w:rsidR="00886B97">
        <w:rPr>
          <w:rFonts w:ascii="Adobe Jenson Pro" w:eastAsia="宋体" w:hAnsi="Adobe Jenson Pro" w:cs="宋体" w:hint="eastAsia"/>
          <w:kern w:val="0"/>
          <w:sz w:val="22"/>
        </w:rPr>
        <w:t>，</w:t>
      </w:r>
      <w:r w:rsidR="00886B97">
        <w:rPr>
          <w:rFonts w:ascii="Adobe Jenson Pro" w:eastAsia="宋体" w:hAnsi="Adobe Jenson Pro" w:cs="宋体" w:hint="eastAsia"/>
          <w:kern w:val="0"/>
          <w:sz w:val="22"/>
        </w:rPr>
        <w:t>9</w:t>
      </w:r>
      <w:r w:rsidR="001B3E6B">
        <w:rPr>
          <w:rFonts w:ascii="Adobe Jenson Pro" w:eastAsia="宋体" w:hAnsi="Adobe Jenson Pro" w:cs="宋体" w:hint="eastAsia"/>
          <w:kern w:val="0"/>
          <w:sz w:val="22"/>
        </w:rPr>
        <w:t>月期货</w:t>
      </w:r>
      <w:r w:rsidR="008A2D08">
        <w:rPr>
          <w:rFonts w:ascii="Adobe Jenson Pro" w:eastAsia="宋体" w:hAnsi="Adobe Jenson Pro" w:cs="宋体" w:hint="eastAsia"/>
          <w:kern w:val="0"/>
          <w:sz w:val="22"/>
        </w:rPr>
        <w:t>价格为</w:t>
      </w:r>
      <w:r w:rsidR="00886B97">
        <w:rPr>
          <w:rFonts w:ascii="Adobe Jenson Pro" w:eastAsia="宋体" w:hAnsi="Adobe Jenson Pro" w:cs="宋体"/>
          <w:kern w:val="0"/>
          <w:sz w:val="22"/>
        </w:rPr>
        <w:t>3507.4</w:t>
      </w:r>
      <w:r w:rsidR="00886B97">
        <w:rPr>
          <w:rFonts w:ascii="Adobe Jenson Pro" w:eastAsia="宋体" w:hAnsi="Adobe Jenson Pro" w:cs="宋体" w:hint="eastAsia"/>
          <w:kern w:val="0"/>
          <w:sz w:val="22"/>
        </w:rPr>
        <w:t>。</w:t>
      </w:r>
      <w:r w:rsidR="008A2D08">
        <w:rPr>
          <w:rFonts w:ascii="Adobe Jenson Pro" w:eastAsia="宋体" w:hAnsi="Adobe Jenson Pro" w:cs="宋体" w:hint="eastAsia"/>
          <w:kern w:val="0"/>
          <w:sz w:val="22"/>
        </w:rPr>
        <w:t>请</w:t>
      </w:r>
      <w:r w:rsidRPr="001A60D0">
        <w:rPr>
          <w:rFonts w:ascii="Adobe Jenson Pro" w:eastAsia="宋体" w:hAnsi="Adobe Jenson Pro" w:cs="宋体" w:hint="eastAsia"/>
          <w:kern w:val="0"/>
          <w:sz w:val="22"/>
        </w:rPr>
        <w:t>计算各期权的内在价值和时间价值，并分析哪个期权的时间价值最大？</w:t>
      </w:r>
      <w:r>
        <w:rPr>
          <w:noProof/>
        </w:rPr>
        <w:drawing>
          <wp:inline distT="0" distB="0" distL="114300" distR="114300" wp14:anchorId="2E0DD5D3" wp14:editId="63D0C5EF">
            <wp:extent cx="0" cy="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B464A33" wp14:editId="32996157">
            <wp:extent cx="0" cy="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41382624" wp14:editId="221BFD42">
            <wp:extent cx="0" cy="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26CFA013" wp14:editId="063CBD3E">
            <wp:extent cx="0" cy="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tbl>
      <w:tblPr>
        <w:tblW w:w="3304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147"/>
        <w:gridCol w:w="1106"/>
      </w:tblGrid>
      <w:tr w:rsidR="001B3E6B" w:rsidRPr="001B3E6B" w14:paraId="33ADC2E9" w14:textId="77777777" w:rsidTr="001B3E6B">
        <w:trPr>
          <w:trHeight w:val="540"/>
          <w:jc w:val="center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617" w14:textId="77777777" w:rsidR="001B3E6B" w:rsidRPr="001B3E6B" w:rsidRDefault="001B3E6B" w:rsidP="001B3E6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1B3E6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看涨期权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758C" w14:textId="7344D8A7" w:rsidR="001B3E6B" w:rsidRPr="001B3E6B" w:rsidRDefault="001B3E6B" w:rsidP="001B3E6B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</w:pPr>
            <w:r w:rsidRPr="001B3E6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价格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69DB" w14:textId="77777777" w:rsidR="001B3E6B" w:rsidRPr="001B3E6B" w:rsidRDefault="001B3E6B" w:rsidP="001B3E6B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</w:pPr>
            <w:r w:rsidRPr="001B3E6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看跌期权</w:t>
            </w:r>
          </w:p>
        </w:tc>
      </w:tr>
      <w:tr w:rsidR="001B3E6B" w:rsidRPr="001B3E6B" w14:paraId="66BD0D8D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202" w14:textId="40C53500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453.4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6A4" w14:textId="6C6353FD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9918" w14:textId="1ADC404F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1B3E6B" w:rsidRPr="001B3E6B" w14:paraId="425830E9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C046" w14:textId="1182EAFF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394.8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667" w14:textId="4585BCF4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9B0" w14:textId="6D7C3D64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198.8 </w:t>
            </w:r>
          </w:p>
        </w:tc>
      </w:tr>
      <w:tr w:rsidR="001B3E6B" w:rsidRPr="001B3E6B" w14:paraId="6A5F67A9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ABE" w14:textId="1853D529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343.2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B89" w14:textId="0DFF06AB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8873" w14:textId="7BA7F288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278.8 </w:t>
            </w:r>
          </w:p>
        </w:tc>
      </w:tr>
      <w:tr w:rsidR="001B3E6B" w:rsidRPr="001B3E6B" w14:paraId="207DEFA7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DF6" w14:textId="10DAD502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301.6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1F6" w14:textId="1111EEE1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5447" w14:textId="6600CEB6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341.0 </w:t>
            </w:r>
          </w:p>
        </w:tc>
      </w:tr>
      <w:tr w:rsidR="001B3E6B" w:rsidRPr="001B3E6B" w14:paraId="5851E965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9490" w14:textId="0B311551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267.8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94F" w14:textId="48E33B64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A31A" w14:textId="39456015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376.8 </w:t>
            </w:r>
          </w:p>
        </w:tc>
      </w:tr>
      <w:tr w:rsidR="001B3E6B" w:rsidRPr="001B3E6B" w14:paraId="06E50BD5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B66F" w14:textId="2BB43C65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223.6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ABFF" w14:textId="23E23FF8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3026" w14:textId="56ED852E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441.6 </w:t>
            </w:r>
          </w:p>
        </w:tc>
      </w:tr>
      <w:tr w:rsidR="001B3E6B" w:rsidRPr="001B3E6B" w14:paraId="395ADB1C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EAE" w14:textId="51A23A44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192.0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ACF" w14:textId="47A46D86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B99F" w14:textId="14FDE616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511.8 </w:t>
            </w:r>
          </w:p>
        </w:tc>
      </w:tr>
      <w:tr w:rsidR="001B3E6B" w:rsidRPr="001B3E6B" w14:paraId="7E220378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8C8C" w14:textId="55E49502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170.0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CCB8" w14:textId="672C027F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A468" w14:textId="7477FF11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572.6 </w:t>
            </w:r>
          </w:p>
        </w:tc>
      </w:tr>
      <w:tr w:rsidR="001B3E6B" w:rsidRPr="001B3E6B" w14:paraId="67AF6DB6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CB0" w14:textId="3E9841E7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144.0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3EE" w14:textId="28367041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E560" w14:textId="678F0202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648.2 </w:t>
            </w:r>
          </w:p>
        </w:tc>
      </w:tr>
      <w:tr w:rsidR="001B3E6B" w:rsidRPr="001B3E6B" w14:paraId="1611821A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727" w14:textId="1392A91B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C8F" w14:textId="38982C11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82C" w14:textId="42BB90E3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666.6 </w:t>
            </w:r>
          </w:p>
        </w:tc>
      </w:tr>
      <w:tr w:rsidR="001B3E6B" w:rsidRPr="001B3E6B" w14:paraId="78DC7CB7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B80" w14:textId="5445B2C9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110.8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EFD" w14:textId="001EC5CC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1050" w14:textId="31A60ADC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828.4 </w:t>
            </w:r>
          </w:p>
        </w:tc>
      </w:tr>
      <w:tr w:rsidR="001B3E6B" w:rsidRPr="001B3E6B" w14:paraId="668C476F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6667" w14:textId="5648EB67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97.0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42E1" w14:textId="6CC63B55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3D3" w14:textId="3BA81AF2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836.8 </w:t>
            </w:r>
          </w:p>
        </w:tc>
      </w:tr>
      <w:tr w:rsidR="001B3E6B" w:rsidRPr="001B3E6B" w14:paraId="03B903AF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48BD" w14:textId="6CB070A2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91.0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536" w14:textId="078679A3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E8F" w14:textId="645A565C" w:rsidR="001B3E6B" w:rsidRPr="001B3E6B" w:rsidRDefault="00886B97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006.0</w:t>
            </w:r>
          </w:p>
        </w:tc>
      </w:tr>
      <w:tr w:rsidR="001B3E6B" w:rsidRPr="001B3E6B" w14:paraId="5DC3044C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F8BC" w14:textId="11033D80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79.6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2EA" w14:textId="03D6CE5C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B07" w14:textId="490B2331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907.40 </w:t>
            </w:r>
          </w:p>
        </w:tc>
      </w:tr>
      <w:tr w:rsidR="001B3E6B" w:rsidRPr="001B3E6B" w14:paraId="50336193" w14:textId="77777777" w:rsidTr="00886B97">
        <w:trPr>
          <w:trHeight w:val="246"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FC3" w14:textId="561BDB55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70.2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1C0" w14:textId="1BFCB0CF" w:rsidR="001B3E6B" w:rsidRPr="001B3E6B" w:rsidRDefault="001B3E6B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FC848" w14:textId="7387B171" w:rsidR="001B3E6B" w:rsidRPr="001B3E6B" w:rsidRDefault="00886B97" w:rsidP="001B3E6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077.6</w:t>
            </w:r>
          </w:p>
        </w:tc>
      </w:tr>
    </w:tbl>
    <w:p w14:paraId="42853133" w14:textId="77777777" w:rsidR="009D26BC" w:rsidRDefault="009D26BC" w:rsidP="00886B97">
      <w:pPr>
        <w:pStyle w:val="1"/>
        <w:autoSpaceDE w:val="0"/>
        <w:autoSpaceDN w:val="0"/>
        <w:adjustRightInd w:val="0"/>
        <w:ind w:left="420" w:firstLineChars="0" w:firstLine="0"/>
        <w:jc w:val="left"/>
        <w:rPr>
          <w:rFonts w:ascii="Adobe Jenson Pro" w:eastAsia="宋体" w:hAnsi="Adobe Jenson Pro" w:cs="宋体" w:hint="eastAsia"/>
          <w:kern w:val="0"/>
          <w:sz w:val="22"/>
        </w:rPr>
      </w:pPr>
    </w:p>
    <w:p w14:paraId="2F18BC79" w14:textId="710406C9" w:rsidR="004C7A03" w:rsidRDefault="004C7A03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试验证以下观点：如果将期权内在价值定义为</w:t>
      </w:r>
      <w:r w:rsidRPr="004C7A03">
        <w:rPr>
          <w:rFonts w:ascii="Adobe Jenson Pro" w:eastAsia="宋体" w:hAnsi="Adobe Jenson Pro" w:cs="宋体"/>
          <w:kern w:val="0"/>
          <w:position w:val="-16"/>
          <w:sz w:val="22"/>
        </w:rPr>
        <w:object w:dxaOrig="1560" w:dyaOrig="440" w14:anchorId="63349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2.1pt" o:ole="">
            <v:imagedata r:id="rId10" o:title=""/>
          </v:shape>
          <o:OLEObject Type="Embed" ProgID="Equation.DSMT4" ShapeID="_x0000_i1025" DrawAspect="Content" ObjectID="_1646053387" r:id="rId11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或</w:t>
      </w:r>
      <w:r w:rsidRPr="004C7A03">
        <w:rPr>
          <w:rFonts w:ascii="Adobe Jenson Pro" w:eastAsia="宋体" w:hAnsi="Adobe Jenson Pro" w:cs="宋体"/>
          <w:kern w:val="0"/>
          <w:position w:val="-16"/>
          <w:sz w:val="22"/>
        </w:rPr>
        <w:object w:dxaOrig="1560" w:dyaOrig="440" w14:anchorId="73FD936E">
          <v:shape id="_x0000_i1026" type="#_x0000_t75" style="width:78pt;height:22.1pt" o:ole="">
            <v:imagedata r:id="rId12" o:title=""/>
          </v:shape>
          <o:OLEObject Type="Embed" ProgID="Equation.DSMT4" ShapeID="_x0000_i1026" DrawAspect="Content" ObjectID="_1646053388" r:id="rId13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，可能会出现时间价值为负的现象。而采用本书中的内在价值定义，则不会出现这一现象。</w:t>
      </w:r>
    </w:p>
    <w:p w14:paraId="63032913" w14:textId="77777777" w:rsidR="00C923EC" w:rsidRDefault="001A60D0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请简要解释以下说法：</w:t>
      </w:r>
    </w:p>
    <w:p w14:paraId="0B4BA3CF" w14:textId="77777777" w:rsidR="00C923EC" w:rsidRDefault="001A60D0">
      <w:pPr>
        <w:pStyle w:val="1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深度实值看涨期权与标的资产价格几乎同涨同跌</w:t>
      </w:r>
    </w:p>
    <w:p w14:paraId="6FD7F0DF" w14:textId="77777777" w:rsidR="00C923EC" w:rsidRDefault="001A60D0">
      <w:pPr>
        <w:pStyle w:val="1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深度实值期权价值基本由内在价值构成</w:t>
      </w:r>
    </w:p>
    <w:p w14:paraId="4A408F73" w14:textId="77777777" w:rsidR="00C923EC" w:rsidRDefault="001A60D0">
      <w:pPr>
        <w:pStyle w:val="1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深度虚值期权价值基本由时间价值构成</w:t>
      </w:r>
    </w:p>
    <w:p w14:paraId="1BC7DFA0" w14:textId="77777777" w:rsidR="00C923EC" w:rsidRDefault="001A60D0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/>
          <w:kern w:val="0"/>
          <w:sz w:val="22"/>
        </w:rPr>
        <w:t>为什么当无风险利率上升及波动率下降时，提前行使美式看跌期权会变得更加吸引人？</w:t>
      </w:r>
    </w:p>
    <w:p w14:paraId="5DDAB312" w14:textId="77777777" w:rsidR="00C923EC" w:rsidRDefault="001A60D0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为什么一个支付现金红利的美式股票看涨期权，在除息日（已经完成除息）行权永</w:t>
      </w:r>
      <w:r>
        <w:rPr>
          <w:rFonts w:ascii="Adobe Jenson Pro" w:eastAsia="宋体" w:hAnsi="Adobe Jenson Pro" w:cs="宋体" w:hint="eastAsia"/>
          <w:kern w:val="0"/>
          <w:sz w:val="22"/>
        </w:rPr>
        <w:lastRenderedPageBreak/>
        <w:t>远不会是最佳选择？</w:t>
      </w:r>
    </w:p>
    <w:p w14:paraId="52600B5B" w14:textId="210D309A" w:rsidR="00C923EC" w:rsidRDefault="001A60D0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/>
          <w:kern w:val="0"/>
          <w:sz w:val="22"/>
        </w:rPr>
        <w:t>一个期限为</w:t>
      </w:r>
      <w:r>
        <w:rPr>
          <w:rFonts w:ascii="Adobe Jenson Pro" w:eastAsia="宋体" w:hAnsi="Adobe Jenson Pro" w:cs="宋体"/>
          <w:kern w:val="0"/>
          <w:sz w:val="22"/>
        </w:rPr>
        <w:t>3</w:t>
      </w:r>
      <w:r>
        <w:rPr>
          <w:rFonts w:ascii="Adobe Jenson Pro" w:eastAsia="宋体" w:hAnsi="Adobe Jenson Pro" w:cs="宋体"/>
          <w:kern w:val="0"/>
          <w:sz w:val="22"/>
        </w:rPr>
        <w:t>个月的欧式看涨和看跌期权，</w:t>
      </w:r>
      <w:r w:rsidR="00886B97">
        <w:rPr>
          <w:rFonts w:ascii="Adobe Jenson Pro" w:eastAsia="宋体" w:hAnsi="Adobe Jenson Pro" w:cs="宋体" w:hint="eastAsia"/>
          <w:kern w:val="0"/>
          <w:sz w:val="22"/>
        </w:rPr>
        <w:t>行权</w:t>
      </w:r>
      <w:r>
        <w:rPr>
          <w:rFonts w:ascii="Adobe Jenson Pro" w:eastAsia="宋体" w:hAnsi="Adobe Jenson Pro" w:cs="宋体"/>
          <w:kern w:val="0"/>
          <w:sz w:val="22"/>
        </w:rPr>
        <w:t>价格都为</w:t>
      </w:r>
      <w:r>
        <w:rPr>
          <w:rFonts w:ascii="Adobe Jenson Pro" w:eastAsia="宋体" w:hAnsi="Adobe Jenson Pro" w:cs="宋体"/>
          <w:kern w:val="0"/>
          <w:sz w:val="22"/>
        </w:rPr>
        <w:t>$20</w:t>
      </w:r>
      <w:r>
        <w:rPr>
          <w:rFonts w:ascii="Adobe Jenson Pro" w:eastAsia="宋体" w:hAnsi="Adobe Jenson Pro" w:cs="宋体"/>
          <w:kern w:val="0"/>
          <w:sz w:val="22"/>
        </w:rPr>
        <w:t>，现在价格都</w:t>
      </w:r>
      <w:r>
        <w:rPr>
          <w:rFonts w:ascii="Adobe Jenson Pro" w:eastAsia="宋体" w:hAnsi="宋体" w:cs="宋体"/>
          <w:kern w:val="0"/>
          <w:sz w:val="22"/>
        </w:rPr>
        <w:t>为</w:t>
      </w:r>
      <w:r>
        <w:rPr>
          <w:rFonts w:ascii="Adobe Jenson Pro" w:eastAsia="宋体" w:hAnsi="Adobe Jenson Pro" w:cs="LMRoman10-Regular"/>
          <w:kern w:val="0"/>
          <w:sz w:val="22"/>
        </w:rPr>
        <w:t>$</w:t>
      </w:r>
      <w:r>
        <w:rPr>
          <w:rFonts w:ascii="Adobe Jenson Pro" w:eastAsia="宋体" w:hAnsi="Adobe Jenson Pro" w:cs="LMRoman10-Regular-Identity-H"/>
          <w:kern w:val="0"/>
          <w:sz w:val="22"/>
        </w:rPr>
        <w:t>3</w:t>
      </w:r>
      <w:r>
        <w:rPr>
          <w:rFonts w:ascii="Adobe Jenson Pro" w:eastAsia="宋体" w:hAnsi="宋体" w:cs="宋体"/>
          <w:kern w:val="0"/>
          <w:sz w:val="22"/>
        </w:rPr>
        <w:t>。无风险利率为</w:t>
      </w:r>
      <w:r>
        <w:rPr>
          <w:rFonts w:ascii="Adobe Jenson Pro" w:eastAsia="宋体" w:hAnsi="Adobe Jenson Pro" w:cs="LMRoman10-Regular-Identity-H"/>
          <w:kern w:val="0"/>
          <w:sz w:val="22"/>
        </w:rPr>
        <w:t>10%</w:t>
      </w:r>
      <w:r>
        <w:rPr>
          <w:rFonts w:ascii="Adobe Jenson Pro" w:eastAsia="宋体" w:hAnsi="宋体" w:cs="宋体"/>
          <w:kern w:val="0"/>
          <w:sz w:val="22"/>
        </w:rPr>
        <w:t>。现在标的的股票价格为</w:t>
      </w:r>
      <w:r>
        <w:rPr>
          <w:rFonts w:ascii="Adobe Jenson Pro" w:eastAsia="宋体" w:hAnsi="Adobe Jenson Pro" w:cs="LMRoman10-Regular"/>
          <w:kern w:val="0"/>
          <w:sz w:val="22"/>
        </w:rPr>
        <w:t>$</w:t>
      </w:r>
      <w:r>
        <w:rPr>
          <w:rFonts w:ascii="Adobe Jenson Pro" w:eastAsia="宋体" w:hAnsi="Adobe Jenson Pro" w:cs="LMRoman10-Regular-Identity-H"/>
          <w:kern w:val="0"/>
          <w:sz w:val="22"/>
        </w:rPr>
        <w:t>19</w:t>
      </w:r>
      <w:r>
        <w:rPr>
          <w:rFonts w:ascii="Adobe Jenson Pro" w:eastAsia="宋体" w:hAnsi="宋体" w:cs="宋体"/>
          <w:kern w:val="0"/>
          <w:sz w:val="22"/>
        </w:rPr>
        <w:t>，并且</w:t>
      </w:r>
      <w:r>
        <w:rPr>
          <w:rFonts w:ascii="Adobe Jenson Pro" w:eastAsia="宋体" w:hAnsi="Adobe Jenson Pro" w:cs="LMRoman10-Regular-Identity-H"/>
          <w:kern w:val="0"/>
          <w:sz w:val="22"/>
        </w:rPr>
        <w:t>1</w:t>
      </w:r>
      <w:r>
        <w:rPr>
          <w:rFonts w:ascii="Adobe Jenson Pro" w:eastAsia="宋体" w:hAnsi="宋体" w:cs="宋体"/>
          <w:kern w:val="0"/>
          <w:sz w:val="22"/>
        </w:rPr>
        <w:t>个月后支付</w:t>
      </w:r>
      <w:r>
        <w:rPr>
          <w:rFonts w:ascii="Adobe Jenson Pro" w:eastAsia="宋体" w:hAnsi="Adobe Jenson Pro" w:cs="LMRoman10-Regular"/>
          <w:kern w:val="0"/>
          <w:sz w:val="22"/>
        </w:rPr>
        <w:t>$</w:t>
      </w:r>
      <w:r>
        <w:rPr>
          <w:rFonts w:ascii="Adobe Jenson Pro" w:eastAsia="宋体" w:hAnsi="Adobe Jenson Pro" w:cs="LMRoman10-Regular-Identity-H"/>
          <w:kern w:val="0"/>
          <w:sz w:val="22"/>
        </w:rPr>
        <w:t>1</w:t>
      </w:r>
      <w:r>
        <w:rPr>
          <w:rFonts w:ascii="Adobe Jenson Pro" w:eastAsia="宋体" w:hAnsi="宋体" w:cs="宋体"/>
          <w:kern w:val="0"/>
          <w:sz w:val="22"/>
        </w:rPr>
        <w:t>的红利。请说明是否存在套利机会？如果存在，将如何套利，套利结果是什么？</w:t>
      </w:r>
    </w:p>
    <w:p w14:paraId="49A09646" w14:textId="37B59010" w:rsidR="00C923EC" w:rsidRDefault="001A60D0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宋体" w:cs="宋体"/>
          <w:kern w:val="0"/>
          <w:sz w:val="22"/>
        </w:rPr>
        <w:t>假设</w:t>
      </w:r>
      <w:r>
        <w:rPr>
          <w:rFonts w:ascii="Adobe Jenson Pro" w:eastAsia="宋体" w:hAnsi="宋体" w:cs="宋体"/>
          <w:kern w:val="0"/>
          <w:position w:val="-14"/>
          <w:sz w:val="22"/>
        </w:rPr>
        <w:object w:dxaOrig="228" w:dyaOrig="408" w14:anchorId="620DDF1E">
          <v:shape id="_x0000_i1027" type="#_x0000_t75" style="width:11.2pt;height:20.2pt" o:ole="">
            <v:imagedata r:id="rId14" o:title=""/>
          </v:shape>
          <o:OLEObject Type="Embed" ProgID="Equation.DSMT4" ShapeID="_x0000_i1027" DrawAspect="Content" ObjectID="_1646053389" r:id="rId15"/>
        </w:object>
      </w:r>
      <w:r>
        <w:rPr>
          <w:rFonts w:ascii="Adobe Jenson Pro" w:eastAsia="宋体" w:hAnsi="宋体" w:cs="宋体"/>
          <w:kern w:val="0"/>
          <w:sz w:val="22"/>
        </w:rPr>
        <w:t>、</w:t>
      </w:r>
      <w:r>
        <w:rPr>
          <w:rFonts w:ascii="Adobe Jenson Pro" w:eastAsia="宋体" w:hAnsi="宋体" w:cs="宋体"/>
          <w:kern w:val="0"/>
          <w:position w:val="-14"/>
          <w:sz w:val="22"/>
        </w:rPr>
        <w:object w:dxaOrig="240" w:dyaOrig="408" w14:anchorId="49355AFD">
          <v:shape id="_x0000_i1028" type="#_x0000_t75" style="width:12pt;height:20.2pt" o:ole="">
            <v:imagedata r:id="rId16" o:title=""/>
          </v:shape>
          <o:OLEObject Type="Embed" ProgID="Equation.DSMT4" ShapeID="_x0000_i1028" DrawAspect="Content" ObjectID="_1646053390" r:id="rId17"/>
        </w:object>
      </w:r>
      <w:r>
        <w:rPr>
          <w:rFonts w:ascii="Adobe Jenson Pro" w:eastAsia="宋体" w:hAnsi="宋体" w:cs="宋体"/>
          <w:kern w:val="0"/>
          <w:sz w:val="22"/>
        </w:rPr>
        <w:t>和</w:t>
      </w:r>
      <w:r>
        <w:rPr>
          <w:rFonts w:ascii="Adobe Jenson Pro" w:eastAsia="宋体" w:hAnsi="宋体" w:cs="宋体"/>
          <w:kern w:val="0"/>
          <w:position w:val="-14"/>
          <w:sz w:val="22"/>
        </w:rPr>
        <w:object w:dxaOrig="240" w:dyaOrig="408" w14:anchorId="1EF074A1">
          <v:shape id="_x0000_i1029" type="#_x0000_t75" style="width:12pt;height:20.2pt" o:ole="">
            <v:imagedata r:id="rId18" o:title=""/>
          </v:shape>
          <o:OLEObject Type="Embed" ProgID="Equation.DSMT4" ShapeID="_x0000_i1029" DrawAspect="Content" ObjectID="_1646053391" r:id="rId19"/>
        </w:object>
      </w:r>
      <w:r>
        <w:rPr>
          <w:rFonts w:ascii="Adobe Jenson Pro" w:eastAsia="宋体" w:hAnsi="Adobe Jenson Pro" w:cs="CMR8"/>
          <w:kern w:val="0"/>
          <w:sz w:val="16"/>
          <w:szCs w:val="16"/>
        </w:rPr>
        <w:t xml:space="preserve"> </w:t>
      </w:r>
      <w:r>
        <w:rPr>
          <w:rFonts w:ascii="Adobe Jenson Pro" w:eastAsia="宋体" w:hAnsi="Adobe Jenson Pro" w:cs="CMR8" w:hint="eastAsia"/>
          <w:kern w:val="0"/>
          <w:szCs w:val="21"/>
        </w:rPr>
        <w:t>分别</w:t>
      </w:r>
      <w:r>
        <w:rPr>
          <w:rFonts w:ascii="Adobe Jenson Pro" w:eastAsia="宋体" w:hAnsi="宋体" w:cs="宋体"/>
          <w:kern w:val="0"/>
          <w:sz w:val="22"/>
        </w:rPr>
        <w:t>是三</w:t>
      </w:r>
      <w:r>
        <w:rPr>
          <w:rFonts w:ascii="Adobe Jenson Pro" w:eastAsia="宋体" w:hAnsi="宋体" w:cs="宋体" w:hint="eastAsia"/>
          <w:kern w:val="0"/>
          <w:sz w:val="22"/>
        </w:rPr>
        <w:t>个</w:t>
      </w:r>
      <w:r>
        <w:rPr>
          <w:rFonts w:ascii="Adobe Jenson Pro" w:eastAsia="宋体" w:hAnsi="宋体" w:cs="宋体"/>
          <w:kern w:val="0"/>
          <w:sz w:val="22"/>
        </w:rPr>
        <w:t>到期时间相同、</w:t>
      </w:r>
      <w:r w:rsidR="00886B97">
        <w:rPr>
          <w:rFonts w:ascii="Adobe Jenson Pro" w:eastAsia="宋体" w:hAnsi="宋体" w:cs="宋体" w:hint="eastAsia"/>
          <w:kern w:val="0"/>
          <w:sz w:val="22"/>
        </w:rPr>
        <w:t>行权</w:t>
      </w:r>
      <w:r>
        <w:rPr>
          <w:rFonts w:ascii="Adobe Jenson Pro" w:eastAsia="宋体" w:hAnsi="宋体" w:cs="宋体"/>
          <w:kern w:val="0"/>
          <w:sz w:val="22"/>
        </w:rPr>
        <w:t>价格分别为</w:t>
      </w:r>
      <w:r>
        <w:rPr>
          <w:rFonts w:ascii="Adobe Jenson Pro" w:eastAsia="宋体" w:hAnsi="宋体" w:cs="宋体"/>
          <w:kern w:val="0"/>
          <w:position w:val="-14"/>
          <w:sz w:val="22"/>
        </w:rPr>
        <w:object w:dxaOrig="312" w:dyaOrig="408" w14:anchorId="09B6FA5E">
          <v:shape id="_x0000_i1030" type="#_x0000_t75" style="width:15.8pt;height:20.2pt" o:ole="">
            <v:imagedata r:id="rId20" o:title=""/>
          </v:shape>
          <o:OLEObject Type="Embed" ProgID="Equation.DSMT4" ShapeID="_x0000_i1030" DrawAspect="Content" ObjectID="_1646053392" r:id="rId21"/>
        </w:object>
      </w:r>
      <w:r>
        <w:rPr>
          <w:rFonts w:ascii="Adobe Jenson Pro" w:eastAsia="宋体" w:hAnsi="宋体" w:cs="宋体"/>
          <w:kern w:val="0"/>
          <w:sz w:val="22"/>
        </w:rPr>
        <w:t>、</w:t>
      </w:r>
      <w:r>
        <w:rPr>
          <w:rFonts w:ascii="Adobe Jenson Pro" w:eastAsia="宋体" w:hAnsi="宋体" w:cs="宋体"/>
          <w:kern w:val="0"/>
          <w:position w:val="-14"/>
          <w:sz w:val="22"/>
        </w:rPr>
        <w:object w:dxaOrig="348" w:dyaOrig="408" w14:anchorId="4BAF8C43">
          <v:shape id="_x0000_i1031" type="#_x0000_t75" style="width:17.2pt;height:20.2pt" o:ole="">
            <v:imagedata r:id="rId22" o:title=""/>
          </v:shape>
          <o:OLEObject Type="Embed" ProgID="Equation.DSMT4" ShapeID="_x0000_i1031" DrawAspect="Content" ObjectID="_1646053393" r:id="rId23"/>
        </w:object>
      </w:r>
      <w:r>
        <w:rPr>
          <w:rFonts w:ascii="Adobe Jenson Pro" w:eastAsia="宋体" w:hAnsi="宋体" w:cs="宋体"/>
          <w:kern w:val="0"/>
          <w:sz w:val="22"/>
        </w:rPr>
        <w:t>和</w:t>
      </w:r>
      <w:r>
        <w:rPr>
          <w:rFonts w:ascii="Adobe Jenson Pro" w:eastAsia="宋体" w:hAnsi="宋体" w:cs="宋体"/>
          <w:kern w:val="0"/>
          <w:position w:val="-14"/>
          <w:sz w:val="22"/>
        </w:rPr>
        <w:object w:dxaOrig="348" w:dyaOrig="408" w14:anchorId="28A4D54F">
          <v:shape id="_x0000_i1032" type="#_x0000_t75" style="width:17.2pt;height:20.2pt" o:ole="">
            <v:imagedata r:id="rId24" o:title=""/>
          </v:shape>
          <o:OLEObject Type="Embed" ProgID="Equation.DSMT4" ShapeID="_x0000_i1032" DrawAspect="Content" ObjectID="_1646053394" r:id="rId25"/>
        </w:object>
      </w:r>
      <w:r>
        <w:rPr>
          <w:rFonts w:ascii="Adobe Jenson Pro" w:eastAsia="宋体" w:hAnsi="宋体" w:cs="宋体"/>
          <w:kern w:val="0"/>
          <w:sz w:val="22"/>
        </w:rPr>
        <w:t>的欧式看涨期权</w:t>
      </w:r>
      <w:r>
        <w:rPr>
          <w:rFonts w:ascii="Adobe Jenson Pro" w:eastAsia="宋体" w:hAnsi="宋体" w:cs="宋体" w:hint="eastAsia"/>
          <w:kern w:val="0"/>
          <w:sz w:val="22"/>
        </w:rPr>
        <w:t>价格</w:t>
      </w:r>
      <w:r>
        <w:rPr>
          <w:rFonts w:ascii="Adobe Jenson Pro" w:eastAsia="宋体" w:hAnsi="宋体" w:cs="宋体"/>
          <w:kern w:val="0"/>
          <w:sz w:val="22"/>
        </w:rPr>
        <w:t>，且满足</w:t>
      </w:r>
      <w:r>
        <w:rPr>
          <w:rFonts w:ascii="Adobe Jenson Pro" w:eastAsia="宋体" w:hAnsi="宋体" w:cs="宋体"/>
          <w:kern w:val="0"/>
          <w:position w:val="-18"/>
          <w:sz w:val="22"/>
        </w:rPr>
        <w:object w:dxaOrig="1572" w:dyaOrig="432" w14:anchorId="569811E9">
          <v:shape id="_x0000_i1033" type="#_x0000_t75" style="width:78.8pt;height:21.8pt" o:ole="">
            <v:imagedata r:id="rId26" o:title=""/>
          </v:shape>
          <o:OLEObject Type="Embed" ProgID="Equation.DSMT4" ShapeID="_x0000_i1033" DrawAspect="Content" ObjectID="_1646053395" r:id="rId27"/>
        </w:object>
      </w:r>
      <w:r>
        <w:rPr>
          <w:rFonts w:ascii="Adobe Jenson Pro" w:eastAsia="宋体" w:hAnsi="宋体" w:cs="CMMI10"/>
          <w:iCs/>
          <w:kern w:val="0"/>
          <w:sz w:val="22"/>
        </w:rPr>
        <w:t>和</w:t>
      </w:r>
      <w:r>
        <w:rPr>
          <w:rFonts w:ascii="Adobe Jenson Pro" w:eastAsia="宋体" w:hAnsi="宋体" w:cs="CMMI10"/>
          <w:iCs/>
          <w:kern w:val="0"/>
          <w:position w:val="-14"/>
          <w:sz w:val="22"/>
        </w:rPr>
        <w:object w:dxaOrig="2040" w:dyaOrig="408" w14:anchorId="22F40C29">
          <v:shape id="_x0000_i1034" type="#_x0000_t75" style="width:102pt;height:20.2pt" o:ole="">
            <v:imagedata r:id="rId28" o:title=""/>
          </v:shape>
          <o:OLEObject Type="Embed" ProgID="Equation.DSMT4" ShapeID="_x0000_i1034" DrawAspect="Content" ObjectID="_1646053396" r:id="rId29"/>
        </w:object>
      </w:r>
      <w:r>
        <w:rPr>
          <w:rFonts w:ascii="Adobe Jenson Pro" w:eastAsia="宋体" w:hAnsi="宋体" w:cs="宋体"/>
          <w:kern w:val="0"/>
          <w:sz w:val="22"/>
        </w:rPr>
        <w:t>，试证明：</w:t>
      </w:r>
    </w:p>
    <w:p w14:paraId="30B1CAB5" w14:textId="77777777" w:rsidR="00C923EC" w:rsidRDefault="001A60D0">
      <w:pPr>
        <w:pStyle w:val="MTDisplayEquation"/>
        <w:numPr>
          <w:ilvl w:val="0"/>
          <w:numId w:val="0"/>
        </w:numPr>
        <w:ind w:left="420"/>
      </w:pPr>
      <w:r>
        <w:tab/>
      </w:r>
      <w:r>
        <w:rPr>
          <w:position w:val="-16"/>
        </w:rPr>
        <w:object w:dxaOrig="1728" w:dyaOrig="432" w14:anchorId="078345AF">
          <v:shape id="_x0000_i1035" type="#_x0000_t75" style="width:86.2pt;height:21.8pt" o:ole="">
            <v:imagedata r:id="rId30" o:title=""/>
          </v:shape>
          <o:OLEObject Type="Embed" ProgID="Equation.DSMT4" ShapeID="_x0000_i1035" DrawAspect="Content" ObjectID="_1646053397" r:id="rId31"/>
        </w:object>
      </w:r>
    </w:p>
    <w:p w14:paraId="2FBA3BF9" w14:textId="77777777" w:rsidR="00C923EC" w:rsidRDefault="001A60D0">
      <w:pPr>
        <w:pStyle w:val="1"/>
        <w:numPr>
          <w:ilvl w:val="0"/>
          <w:numId w:val="2"/>
        </w:numPr>
        <w:ind w:firstLineChars="0"/>
        <w:rPr>
          <w:rFonts w:ascii="Adobe Jenson Pro" w:eastAsia="宋体" w:hAnsi="Adobe Jenson Pro" w:cs="Times New Roman"/>
        </w:rPr>
      </w:pPr>
      <w:r>
        <w:rPr>
          <w:rFonts w:ascii="Adobe Jenson Pro" w:eastAsia="宋体" w:hAnsi="宋体" w:cs="Times New Roman"/>
        </w:rPr>
        <w:t>拥有无红利</w:t>
      </w:r>
      <w:r>
        <w:rPr>
          <w:rFonts w:ascii="Adobe Jenson Pro" w:eastAsia="宋体" w:hAnsi="宋体"/>
        </w:rPr>
        <w:t>支付的</w:t>
      </w:r>
      <w:r>
        <w:rPr>
          <w:rFonts w:ascii="Adobe Jenson Pro" w:eastAsia="宋体" w:hAnsi="宋体" w:cs="Times New Roman"/>
        </w:rPr>
        <w:t>美式看涨期权多头的投</w:t>
      </w:r>
      <w:r>
        <w:rPr>
          <w:rFonts w:ascii="Adobe Jenson Pro" w:eastAsia="宋体" w:hAnsi="宋体"/>
        </w:rPr>
        <w:t>资者有可能采取下列行动中的哪些？并说明理由。</w:t>
      </w:r>
    </w:p>
    <w:p w14:paraId="169B9E78" w14:textId="77777777" w:rsidR="00C923EC" w:rsidRDefault="001A60D0">
      <w:pPr>
        <w:rPr>
          <w:rFonts w:ascii="Adobe Jenson Pro" w:eastAsia="宋体" w:hAnsi="Adobe Jenson Pro" w:cs="Times New Roman"/>
        </w:rPr>
      </w:pPr>
      <w:r>
        <w:rPr>
          <w:rFonts w:ascii="Adobe Jenson Pro" w:eastAsia="宋体" w:hAnsi="Adobe Jenson Pro" w:cs="Times New Roman" w:hint="eastAsia"/>
        </w:rPr>
        <w:tab/>
      </w:r>
      <w:r>
        <w:rPr>
          <w:rFonts w:ascii="Adobe Jenson Pro" w:eastAsia="宋体" w:hAnsi="Adobe Jenson Pro" w:cs="Times New Roman"/>
        </w:rPr>
        <w:t>A</w:t>
      </w:r>
      <w:r>
        <w:rPr>
          <w:rFonts w:ascii="Adobe Jenson Pro" w:eastAsia="宋体" w:hAnsi="宋体" w:cs="Times New Roman"/>
        </w:rPr>
        <w:t>．一旦有钱可赚就立即执行期权</w:t>
      </w:r>
    </w:p>
    <w:p w14:paraId="6B1B215B" w14:textId="77777777" w:rsidR="00C923EC" w:rsidRDefault="001A60D0">
      <w:pPr>
        <w:rPr>
          <w:rFonts w:ascii="Adobe Jenson Pro" w:eastAsia="宋体" w:hAnsi="Adobe Jenson Pro" w:cs="Times New Roman"/>
        </w:rPr>
      </w:pPr>
      <w:r>
        <w:rPr>
          <w:rFonts w:ascii="Adobe Jenson Pro" w:eastAsia="宋体" w:hAnsi="Adobe Jenson Pro" w:cs="Times New Roman" w:hint="eastAsia"/>
        </w:rPr>
        <w:tab/>
      </w:r>
      <w:r>
        <w:rPr>
          <w:rFonts w:ascii="Adobe Jenson Pro" w:eastAsia="宋体" w:hAnsi="Adobe Jenson Pro" w:cs="Times New Roman"/>
        </w:rPr>
        <w:t>B</w:t>
      </w:r>
      <w:r>
        <w:rPr>
          <w:rFonts w:ascii="Adobe Jenson Pro" w:eastAsia="宋体" w:hAnsi="宋体" w:cs="Times New Roman"/>
        </w:rPr>
        <w:t>．当股价跌到执行价格以下时，购买一补偿性的看跌期权</w:t>
      </w:r>
    </w:p>
    <w:p w14:paraId="0ADB9001" w14:textId="77777777" w:rsidR="00C923EC" w:rsidRDefault="001A60D0">
      <w:pPr>
        <w:rPr>
          <w:rFonts w:ascii="Adobe Jenson Pro" w:eastAsia="宋体" w:hAnsi="Adobe Jenson Pro" w:cs="Times New Roman"/>
        </w:rPr>
      </w:pPr>
      <w:r>
        <w:rPr>
          <w:rFonts w:ascii="Adobe Jenson Pro" w:eastAsia="宋体" w:hAnsi="Adobe Jenson Pro" w:cs="Times New Roman" w:hint="eastAsia"/>
        </w:rPr>
        <w:tab/>
      </w:r>
      <w:r>
        <w:rPr>
          <w:rFonts w:ascii="Adobe Jenson Pro" w:eastAsia="宋体" w:hAnsi="Adobe Jenson Pro" w:cs="Times New Roman"/>
        </w:rPr>
        <w:t>C</w:t>
      </w:r>
      <w:r>
        <w:rPr>
          <w:rFonts w:ascii="Adobe Jenson Pro" w:eastAsia="宋体" w:hAnsi="宋体"/>
        </w:rPr>
        <w:t>．当期权处于深度实值时，</w:t>
      </w:r>
      <w:r>
        <w:rPr>
          <w:rFonts w:ascii="Adobe Jenson Pro" w:eastAsia="宋体" w:hAnsi="宋体" w:cs="Times New Roman"/>
        </w:rPr>
        <w:t>投资者可以</w:t>
      </w:r>
      <w:r>
        <w:rPr>
          <w:rFonts w:ascii="Adobe Jenson Pro" w:eastAsia="宋体" w:hAnsi="宋体"/>
        </w:rPr>
        <w:t>提前执行期权</w:t>
      </w:r>
    </w:p>
    <w:p w14:paraId="2430383A" w14:textId="77777777" w:rsidR="00C923EC" w:rsidRDefault="001A60D0">
      <w:pPr>
        <w:rPr>
          <w:rFonts w:ascii="Adobe Jenson Pro" w:eastAsia="宋体" w:hAnsi="Adobe Jenson Pro" w:cs="Times New Roman"/>
        </w:rPr>
      </w:pPr>
      <w:r>
        <w:rPr>
          <w:rFonts w:ascii="Adobe Jenson Pro" w:eastAsia="宋体" w:hAnsi="Adobe Jenson Pro" w:cs="Times New Roman" w:hint="eastAsia"/>
        </w:rPr>
        <w:tab/>
      </w:r>
      <w:r>
        <w:rPr>
          <w:rFonts w:ascii="Adobe Jenson Pro" w:eastAsia="宋体" w:hAnsi="Adobe Jenson Pro" w:cs="Times New Roman"/>
        </w:rPr>
        <w:t>D</w:t>
      </w:r>
      <w:r>
        <w:rPr>
          <w:rFonts w:ascii="Adobe Jenson Pro" w:eastAsia="宋体" w:hAnsi="宋体" w:cs="Times New Roman"/>
        </w:rPr>
        <w:t>．对于投资者而言，提前执行该期权可能是不明智的</w:t>
      </w:r>
    </w:p>
    <w:p w14:paraId="353F2BBB" w14:textId="32C03EC0" w:rsidR="00C923EC" w:rsidRPr="00886B97" w:rsidRDefault="001A60D0" w:rsidP="00886B97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/>
        </w:rPr>
      </w:pPr>
      <w:r>
        <w:rPr>
          <w:rFonts w:ascii="Adobe Jenson Pro" w:eastAsia="宋体" w:hAnsi="宋体"/>
        </w:rPr>
        <w:t>试证明</w:t>
      </w:r>
      <w:r w:rsidRPr="00886B97">
        <w:rPr>
          <w:rFonts w:ascii="Adobe Jenson Pro" w:eastAsia="宋体" w:hAnsi="宋体"/>
        </w:rPr>
        <w:t>有收益资产美式期权满足如下公式</w:t>
      </w:r>
    </w:p>
    <w:p w14:paraId="537D7F12" w14:textId="77777777" w:rsidR="00C923EC" w:rsidRDefault="001A60D0">
      <w:pPr>
        <w:pStyle w:val="MTDisplayEquation"/>
        <w:numPr>
          <w:ilvl w:val="0"/>
          <w:numId w:val="0"/>
        </w:numPr>
        <w:ind w:left="420"/>
      </w:pPr>
      <w:r>
        <w:tab/>
      </w:r>
      <w:r>
        <w:rPr>
          <w:position w:val="-8"/>
        </w:rPr>
        <w:object w:dxaOrig="3600" w:dyaOrig="408" w14:anchorId="5214F44F">
          <v:shape id="_x0000_i1036" type="#_x0000_t75" style="width:180pt;height:20.2pt" o:ole="">
            <v:imagedata r:id="rId32" o:title=""/>
          </v:shape>
          <o:OLEObject Type="Embed" ProgID="Equation.DSMT4" ShapeID="_x0000_i1036" DrawAspect="Content" ObjectID="_1646053398" r:id="rId33"/>
        </w:object>
      </w:r>
    </w:p>
    <w:p w14:paraId="550EA647" w14:textId="77777777" w:rsidR="00C923EC" w:rsidRDefault="00C923EC">
      <w:pPr>
        <w:autoSpaceDE w:val="0"/>
        <w:autoSpaceDN w:val="0"/>
        <w:adjustRightInd w:val="0"/>
        <w:ind w:left="440" w:hangingChars="200" w:hanging="440"/>
        <w:jc w:val="left"/>
        <w:rPr>
          <w:rFonts w:ascii="Adobe Jenson Pro" w:eastAsia="宋体" w:hAnsi="Adobe Jenson Pro" w:cs="宋体"/>
          <w:kern w:val="0"/>
          <w:sz w:val="22"/>
        </w:rPr>
      </w:pPr>
    </w:p>
    <w:sectPr w:rsidR="00C9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1BC7" w14:textId="77777777" w:rsidR="00AC00F2" w:rsidRDefault="00AC00F2" w:rsidP="00172CFC">
      <w:r>
        <w:separator/>
      </w:r>
    </w:p>
  </w:endnote>
  <w:endnote w:type="continuationSeparator" w:id="0">
    <w:p w14:paraId="0B0FE087" w14:textId="77777777" w:rsidR="00AC00F2" w:rsidRDefault="00AC00F2" w:rsidP="0017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Jenson Pro">
    <w:panose1 w:val="020A0503050201030203"/>
    <w:charset w:val="00"/>
    <w:family w:val="roman"/>
    <w:notTrueType/>
    <w:pitch w:val="variable"/>
    <w:sig w:usb0="00000007" w:usb1="00000001" w:usb2="00000000" w:usb3="00000000" w:csb0="00000093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Roman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charset w:val="00"/>
    <w:family w:val="auto"/>
    <w:pitch w:val="default"/>
  </w:font>
  <w:font w:name="CMMI1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851C" w14:textId="77777777" w:rsidR="00AC00F2" w:rsidRDefault="00AC00F2" w:rsidP="00172CFC">
      <w:r>
        <w:separator/>
      </w:r>
    </w:p>
  </w:footnote>
  <w:footnote w:type="continuationSeparator" w:id="0">
    <w:p w14:paraId="18368B86" w14:textId="77777777" w:rsidR="00AC00F2" w:rsidRDefault="00AC00F2" w:rsidP="0017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D2F"/>
    <w:multiLevelType w:val="multilevel"/>
    <w:tmpl w:val="122F3D2F"/>
    <w:lvl w:ilvl="0" w:tentative="1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476DB3"/>
    <w:multiLevelType w:val="multilevel"/>
    <w:tmpl w:val="42476DB3"/>
    <w:lvl w:ilvl="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51795EEC"/>
    <w:multiLevelType w:val="hybridMultilevel"/>
    <w:tmpl w:val="3872C700"/>
    <w:lvl w:ilvl="0" w:tplc="F1981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506DD0"/>
    <w:multiLevelType w:val="multilevel"/>
    <w:tmpl w:val="69506DD0"/>
    <w:lvl w:ilvl="0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700" w:hanging="420"/>
      </w:pPr>
    </w:lvl>
    <w:lvl w:ilvl="2" w:tentative="1">
      <w:start w:val="1"/>
      <w:numFmt w:val="lowerRoman"/>
      <w:lvlText w:val="%3."/>
      <w:lvlJc w:val="right"/>
      <w:pPr>
        <w:ind w:left="2120" w:hanging="420"/>
      </w:pPr>
    </w:lvl>
    <w:lvl w:ilvl="3" w:tentative="1">
      <w:start w:val="1"/>
      <w:numFmt w:val="decimal"/>
      <w:lvlText w:val="%4."/>
      <w:lvlJc w:val="left"/>
      <w:pPr>
        <w:ind w:left="2540" w:hanging="420"/>
      </w:pPr>
    </w:lvl>
    <w:lvl w:ilvl="4" w:tentative="1">
      <w:start w:val="1"/>
      <w:numFmt w:val="lowerLetter"/>
      <w:lvlText w:val="%5)"/>
      <w:lvlJc w:val="left"/>
      <w:pPr>
        <w:ind w:left="2960" w:hanging="420"/>
      </w:pPr>
    </w:lvl>
    <w:lvl w:ilvl="5" w:tentative="1">
      <w:start w:val="1"/>
      <w:numFmt w:val="lowerRoman"/>
      <w:lvlText w:val="%6."/>
      <w:lvlJc w:val="right"/>
      <w:pPr>
        <w:ind w:left="3380" w:hanging="420"/>
      </w:pPr>
    </w:lvl>
    <w:lvl w:ilvl="6" w:tentative="1">
      <w:start w:val="1"/>
      <w:numFmt w:val="decimal"/>
      <w:lvlText w:val="%7."/>
      <w:lvlJc w:val="left"/>
      <w:pPr>
        <w:ind w:left="3800" w:hanging="420"/>
      </w:pPr>
    </w:lvl>
    <w:lvl w:ilvl="7" w:tentative="1">
      <w:start w:val="1"/>
      <w:numFmt w:val="lowerLetter"/>
      <w:lvlText w:val="%8)"/>
      <w:lvlJc w:val="left"/>
      <w:pPr>
        <w:ind w:left="4220" w:hanging="420"/>
      </w:pPr>
    </w:lvl>
    <w:lvl w:ilvl="8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4" w15:restartNumberingAfterBreak="0">
    <w:nsid w:val="75422674"/>
    <w:multiLevelType w:val="multilevel"/>
    <w:tmpl w:val="75422674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upperLetter"/>
      <w:lvlText w:val="%2."/>
      <w:lvlJc w:val="right"/>
      <w:pPr>
        <w:ind w:left="846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AFA"/>
    <w:rsid w:val="00006866"/>
    <w:rsid w:val="0000732C"/>
    <w:rsid w:val="00031A5F"/>
    <w:rsid w:val="00041B9F"/>
    <w:rsid w:val="00082769"/>
    <w:rsid w:val="000A54EF"/>
    <w:rsid w:val="000B5EB3"/>
    <w:rsid w:val="000B64B2"/>
    <w:rsid w:val="000C2AEE"/>
    <w:rsid w:val="000C468A"/>
    <w:rsid w:val="000D63DF"/>
    <w:rsid w:val="000E388E"/>
    <w:rsid w:val="000F0A55"/>
    <w:rsid w:val="00104A20"/>
    <w:rsid w:val="00115C03"/>
    <w:rsid w:val="00150A2C"/>
    <w:rsid w:val="00172CFC"/>
    <w:rsid w:val="00181CBC"/>
    <w:rsid w:val="001A361A"/>
    <w:rsid w:val="001A4842"/>
    <w:rsid w:val="001A60D0"/>
    <w:rsid w:val="001B3E6B"/>
    <w:rsid w:val="001E5A15"/>
    <w:rsid w:val="001F717F"/>
    <w:rsid w:val="00216594"/>
    <w:rsid w:val="00275BC9"/>
    <w:rsid w:val="00287777"/>
    <w:rsid w:val="002C039F"/>
    <w:rsid w:val="002D4671"/>
    <w:rsid w:val="002F1F03"/>
    <w:rsid w:val="00303852"/>
    <w:rsid w:val="003134C9"/>
    <w:rsid w:val="003161EA"/>
    <w:rsid w:val="003229FD"/>
    <w:rsid w:val="00332FFD"/>
    <w:rsid w:val="00336A93"/>
    <w:rsid w:val="00347D4C"/>
    <w:rsid w:val="0036123A"/>
    <w:rsid w:val="00381EE4"/>
    <w:rsid w:val="0038331B"/>
    <w:rsid w:val="00386199"/>
    <w:rsid w:val="00390E6A"/>
    <w:rsid w:val="00396EDE"/>
    <w:rsid w:val="003B48D1"/>
    <w:rsid w:val="003D2EBC"/>
    <w:rsid w:val="003E4B51"/>
    <w:rsid w:val="004153EA"/>
    <w:rsid w:val="00427665"/>
    <w:rsid w:val="0043752E"/>
    <w:rsid w:val="004440F7"/>
    <w:rsid w:val="00447088"/>
    <w:rsid w:val="00452EBC"/>
    <w:rsid w:val="004653F0"/>
    <w:rsid w:val="00475760"/>
    <w:rsid w:val="00484A4A"/>
    <w:rsid w:val="004876FF"/>
    <w:rsid w:val="00494078"/>
    <w:rsid w:val="0049498A"/>
    <w:rsid w:val="00495A86"/>
    <w:rsid w:val="004B0041"/>
    <w:rsid w:val="004C6393"/>
    <w:rsid w:val="004C7A03"/>
    <w:rsid w:val="004E16F6"/>
    <w:rsid w:val="004F1115"/>
    <w:rsid w:val="004F661C"/>
    <w:rsid w:val="004F7074"/>
    <w:rsid w:val="004F7829"/>
    <w:rsid w:val="0050099C"/>
    <w:rsid w:val="00513EE6"/>
    <w:rsid w:val="00521600"/>
    <w:rsid w:val="0054348B"/>
    <w:rsid w:val="00546EFC"/>
    <w:rsid w:val="0055130A"/>
    <w:rsid w:val="00561A97"/>
    <w:rsid w:val="0056285E"/>
    <w:rsid w:val="0058164C"/>
    <w:rsid w:val="005C06D5"/>
    <w:rsid w:val="005C12EC"/>
    <w:rsid w:val="005C197C"/>
    <w:rsid w:val="005C26D9"/>
    <w:rsid w:val="005C7279"/>
    <w:rsid w:val="005D7FD7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66360"/>
    <w:rsid w:val="0067278C"/>
    <w:rsid w:val="00700A38"/>
    <w:rsid w:val="00710348"/>
    <w:rsid w:val="00710ECD"/>
    <w:rsid w:val="00715130"/>
    <w:rsid w:val="007232B0"/>
    <w:rsid w:val="0073654D"/>
    <w:rsid w:val="00736A17"/>
    <w:rsid w:val="007434EB"/>
    <w:rsid w:val="0075327A"/>
    <w:rsid w:val="0076598A"/>
    <w:rsid w:val="00796736"/>
    <w:rsid w:val="00796811"/>
    <w:rsid w:val="007A76B2"/>
    <w:rsid w:val="007C0584"/>
    <w:rsid w:val="007C41E3"/>
    <w:rsid w:val="007E2023"/>
    <w:rsid w:val="007F0C6B"/>
    <w:rsid w:val="007F2AFA"/>
    <w:rsid w:val="007F54B4"/>
    <w:rsid w:val="007F6D13"/>
    <w:rsid w:val="0080159A"/>
    <w:rsid w:val="00804316"/>
    <w:rsid w:val="0081418C"/>
    <w:rsid w:val="0082162E"/>
    <w:rsid w:val="00857EFA"/>
    <w:rsid w:val="00862B1F"/>
    <w:rsid w:val="00877505"/>
    <w:rsid w:val="00886B97"/>
    <w:rsid w:val="008A2D08"/>
    <w:rsid w:val="008B5A27"/>
    <w:rsid w:val="008C02A9"/>
    <w:rsid w:val="008C404A"/>
    <w:rsid w:val="008C4EB0"/>
    <w:rsid w:val="008D78F9"/>
    <w:rsid w:val="008E358A"/>
    <w:rsid w:val="008E5CF0"/>
    <w:rsid w:val="008F352F"/>
    <w:rsid w:val="008F5625"/>
    <w:rsid w:val="00913499"/>
    <w:rsid w:val="009178D9"/>
    <w:rsid w:val="00924A13"/>
    <w:rsid w:val="00937484"/>
    <w:rsid w:val="00942A35"/>
    <w:rsid w:val="009818C1"/>
    <w:rsid w:val="00997806"/>
    <w:rsid w:val="009B1B1C"/>
    <w:rsid w:val="009C33F4"/>
    <w:rsid w:val="009D206A"/>
    <w:rsid w:val="009D26BC"/>
    <w:rsid w:val="00A06139"/>
    <w:rsid w:val="00A20A13"/>
    <w:rsid w:val="00A25D8E"/>
    <w:rsid w:val="00A34CEA"/>
    <w:rsid w:val="00A42A07"/>
    <w:rsid w:val="00A52102"/>
    <w:rsid w:val="00A53B33"/>
    <w:rsid w:val="00A62AB1"/>
    <w:rsid w:val="00AC00F2"/>
    <w:rsid w:val="00AC356E"/>
    <w:rsid w:val="00AE1232"/>
    <w:rsid w:val="00B0634F"/>
    <w:rsid w:val="00B11870"/>
    <w:rsid w:val="00B2650B"/>
    <w:rsid w:val="00B428FB"/>
    <w:rsid w:val="00B42C75"/>
    <w:rsid w:val="00B445E3"/>
    <w:rsid w:val="00B66757"/>
    <w:rsid w:val="00B723BD"/>
    <w:rsid w:val="00B7272F"/>
    <w:rsid w:val="00BA10CA"/>
    <w:rsid w:val="00BB52BF"/>
    <w:rsid w:val="00BB6647"/>
    <w:rsid w:val="00BC072A"/>
    <w:rsid w:val="00BF0637"/>
    <w:rsid w:val="00C07926"/>
    <w:rsid w:val="00C12A9A"/>
    <w:rsid w:val="00C55EE3"/>
    <w:rsid w:val="00C66943"/>
    <w:rsid w:val="00C923EC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40C23"/>
    <w:rsid w:val="00D415B4"/>
    <w:rsid w:val="00D86038"/>
    <w:rsid w:val="00D96606"/>
    <w:rsid w:val="00DC4A23"/>
    <w:rsid w:val="00DD1781"/>
    <w:rsid w:val="00DD7256"/>
    <w:rsid w:val="00E07346"/>
    <w:rsid w:val="00E300FC"/>
    <w:rsid w:val="00E67867"/>
    <w:rsid w:val="00E6799C"/>
    <w:rsid w:val="00E81B05"/>
    <w:rsid w:val="00E8427B"/>
    <w:rsid w:val="00E95D30"/>
    <w:rsid w:val="00EA0FF7"/>
    <w:rsid w:val="00EC3593"/>
    <w:rsid w:val="00ED2731"/>
    <w:rsid w:val="00EF4180"/>
    <w:rsid w:val="00EF4D9D"/>
    <w:rsid w:val="00F063E7"/>
    <w:rsid w:val="00F2264A"/>
    <w:rsid w:val="00F24985"/>
    <w:rsid w:val="00F407D9"/>
    <w:rsid w:val="00F52C41"/>
    <w:rsid w:val="00F575E0"/>
    <w:rsid w:val="00F723B1"/>
    <w:rsid w:val="00F75662"/>
    <w:rsid w:val="00F859DF"/>
    <w:rsid w:val="00F93375"/>
    <w:rsid w:val="00FA1A00"/>
    <w:rsid w:val="00FB0309"/>
    <w:rsid w:val="00FC21E2"/>
    <w:rsid w:val="3C4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4BE5A"/>
  <w15:docId w15:val="{C5CC298E-A63D-41F0-AD3D-79DBBE4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21"/>
      <w:szCs w:val="21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link w:val="Char"/>
    <w:uiPriority w:val="34"/>
    <w:qFormat/>
    <w:pPr>
      <w:ind w:firstLineChars="200" w:firstLine="420"/>
    </w:pPr>
  </w:style>
  <w:style w:type="paragraph" w:customStyle="1" w:styleId="MTDisplayEquation">
    <w:name w:val="MTDisplayEquation"/>
    <w:basedOn w:val="1"/>
    <w:next w:val="a"/>
    <w:link w:val="MTDisplayEquationChar"/>
    <w:pPr>
      <w:numPr>
        <w:numId w:val="1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">
    <w:name w:val="列出段落 Char"/>
    <w:basedOn w:val="a0"/>
    <w:link w:val="1"/>
    <w:uiPriority w:val="34"/>
  </w:style>
  <w:style w:type="character" w:customStyle="1" w:styleId="MTDisplayEquationChar">
    <w:name w:val="MTDisplayEquation Char"/>
    <w:basedOn w:val="Char"/>
    <w:link w:val="MTDisplayEquation"/>
    <w:rPr>
      <w:rFonts w:ascii="Adobe Jenson Pro" w:eastAsia="宋体" w:hAnsi="Adobe Jenson Pro" w:cs="宋体"/>
      <w:kern w:val="0"/>
      <w:sz w:val="22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rPr>
      <w:color w:val="808080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paragraph" w:styleId="af">
    <w:name w:val="List Paragraph"/>
    <w:basedOn w:val="a"/>
    <w:uiPriority w:val="34"/>
    <w:unhideWhenUsed/>
    <w:qFormat/>
    <w:rsid w:val="00736A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213</Words>
  <Characters>1215</Characters>
  <Application>Microsoft Office Word</Application>
  <DocSecurity>0</DocSecurity>
  <Lines>10</Lines>
  <Paragraphs>2</Paragraphs>
  <ScaleCrop>false</ScaleCrop>
  <Company>XMU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cp:lastPrinted>2011-11-07T01:56:00Z</cp:lastPrinted>
  <dcterms:created xsi:type="dcterms:W3CDTF">2020-03-18T07:33:00Z</dcterms:created>
  <dcterms:modified xsi:type="dcterms:W3CDTF">2020-03-18T08:16:00Z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2052-10.1.0.5329</vt:lpwstr>
  </property>
</Properties>
</file>